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802F" w14:textId="77777777" w:rsidR="00285723" w:rsidRDefault="00285723">
      <w:pPr>
        <w:spacing w:after="40"/>
        <w:rPr>
          <w:b/>
          <w:color w:val="1B365D"/>
          <w:sz w:val="28"/>
        </w:rPr>
      </w:pPr>
    </w:p>
    <w:p w14:paraId="24CA6990" w14:textId="77777777" w:rsidR="00285723" w:rsidRDefault="001C544A">
      <w:pPr>
        <w:spacing w:after="40"/>
        <w:rPr>
          <w:b/>
          <w:color w:val="1B365D"/>
          <w:sz w:val="28"/>
        </w:rPr>
      </w:pPr>
      <w:r>
        <w:rPr>
          <w:b/>
          <w:noProof/>
          <w:color w:val="1B365D"/>
          <w:sz w:val="28"/>
        </w:rPr>
        <w:drawing>
          <wp:anchor distT="0" distB="0" distL="0" distR="0" simplePos="0" relativeHeight="2" behindDoc="1" locked="0" layoutInCell="1" allowOverlap="1" wp14:anchorId="2621735B" wp14:editId="6C5329BF">
            <wp:simplePos x="0" y="0"/>
            <wp:positionH relativeFrom="column">
              <wp:posOffset>2148840</wp:posOffset>
            </wp:positionH>
            <wp:positionV relativeFrom="paragraph">
              <wp:posOffset>-646430</wp:posOffset>
            </wp:positionV>
            <wp:extent cx="4521200" cy="65024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8"/>
                    <a:stretch>
                      <a:fillRect/>
                    </a:stretch>
                  </pic:blipFill>
                  <pic:spPr bwMode="auto">
                    <a:xfrm>
                      <a:off x="0" y="0"/>
                      <a:ext cx="4521200" cy="650240"/>
                    </a:xfrm>
                    <a:prstGeom prst="rect">
                      <a:avLst/>
                    </a:prstGeom>
                  </pic:spPr>
                </pic:pic>
              </a:graphicData>
            </a:graphic>
          </wp:anchor>
        </w:drawing>
      </w:r>
    </w:p>
    <w:p w14:paraId="04406EAA" w14:textId="77777777" w:rsidR="00285723" w:rsidRDefault="00285723">
      <w:pPr>
        <w:spacing w:after="40"/>
        <w:rPr>
          <w:b/>
          <w:color w:val="1B365D"/>
          <w:sz w:val="28"/>
        </w:rPr>
      </w:pPr>
    </w:p>
    <w:p w14:paraId="01B547A2" w14:textId="050F71A6" w:rsidR="0063126B" w:rsidRDefault="0063126B" w:rsidP="0063126B">
      <w:pPr>
        <w:spacing w:after="360"/>
        <w:rPr>
          <w:rFonts w:ascii="Avenir LT Pro 55 Roman" w:hAnsi="Avenir LT Pro 55 Roman"/>
          <w:color w:val="008ECA"/>
        </w:rPr>
      </w:pPr>
      <w:r>
        <w:rPr>
          <w:rFonts w:ascii="Avenir LT Pro 55 Roman" w:hAnsi="Avenir LT Pro 55 Roman"/>
          <w:b/>
          <w:color w:val="008ECA"/>
          <w:sz w:val="30"/>
        </w:rPr>
        <w:t>Visa Regulations and other Exchange Logistics</w:t>
      </w:r>
    </w:p>
    <w:p w14:paraId="1E5170BF" w14:textId="14BEE1DB" w:rsidR="00285723" w:rsidRPr="00F42477" w:rsidRDefault="0063126B" w:rsidP="00F42477">
      <w:pPr>
        <w:spacing w:after="360"/>
        <w:jc w:val="both"/>
        <w:rPr>
          <w:rFonts w:ascii="Avenir LT Pro 55 Roman" w:hAnsi="Avenir LT Pro 55 Roman"/>
          <w:color w:val="008ECA"/>
          <w:szCs w:val="21"/>
        </w:rPr>
      </w:pPr>
      <w:r w:rsidRPr="0063126B">
        <w:rPr>
          <w:rFonts w:cs="Arial"/>
          <w:szCs w:val="21"/>
        </w:rPr>
        <w:t xml:space="preserve">We are delighted that you are interested in joining the Leibniz Centre for Tropical Marine Research (ZMT) as a guest researcher. To ensure your transition to Bremen is as smooth as possible, please find the following essential details regarding your stay, logistics, and funding. More information will be provided to you by HR if you are selected under the </w:t>
      </w:r>
      <w:r>
        <w:rPr>
          <w:rFonts w:cs="Arial"/>
          <w:szCs w:val="21"/>
        </w:rPr>
        <w:t>E</w:t>
      </w:r>
      <w:r w:rsidRPr="0063126B">
        <w:rPr>
          <w:rFonts w:cs="Arial"/>
          <w:szCs w:val="21"/>
        </w:rPr>
        <w:t xml:space="preserve">xchange </w:t>
      </w:r>
      <w:proofErr w:type="spellStart"/>
      <w:r>
        <w:rPr>
          <w:rFonts w:cs="Arial"/>
          <w:szCs w:val="21"/>
        </w:rPr>
        <w:t>P</w:t>
      </w:r>
      <w:r w:rsidRPr="0063126B">
        <w:rPr>
          <w:rFonts w:cs="Arial"/>
          <w:szCs w:val="21"/>
        </w:rPr>
        <w:t>rogramme</w:t>
      </w:r>
      <w:proofErr w:type="spellEnd"/>
      <w:r w:rsidRPr="0063126B">
        <w:rPr>
          <w:rFonts w:cs="Arial"/>
          <w:szCs w:val="21"/>
        </w:rPr>
        <w:t xml:space="preserve"> framework.</w:t>
      </w:r>
    </w:p>
    <w:p w14:paraId="355F009E" w14:textId="6A59A3CE" w:rsidR="00285723" w:rsidRDefault="001C544A">
      <w:pPr>
        <w:keepNext/>
        <w:spacing w:before="280" w:after="80"/>
        <w:jc w:val="both"/>
        <w:rPr>
          <w:rFonts w:ascii="Avenir LT Pro 55 Roman" w:hAnsi="Avenir LT Pro 55 Roman"/>
          <w:b/>
          <w:color w:val="008ECA"/>
          <w:sz w:val="24"/>
        </w:rPr>
      </w:pPr>
      <w:r>
        <w:rPr>
          <w:rFonts w:ascii="Avenir LT Pro 55 Roman" w:hAnsi="Avenir LT Pro 55 Roman"/>
          <w:b/>
          <w:color w:val="008ECA"/>
          <w:sz w:val="24"/>
        </w:rPr>
        <w:t xml:space="preserve">1. </w:t>
      </w:r>
      <w:r w:rsidR="0063126B">
        <w:rPr>
          <w:rFonts w:ascii="Avenir LT Pro 55 Roman" w:hAnsi="Avenir LT Pro 55 Roman"/>
          <w:b/>
          <w:color w:val="008ECA"/>
          <w:sz w:val="24"/>
        </w:rPr>
        <w:t>Integration and Resources</w:t>
      </w:r>
    </w:p>
    <w:p w14:paraId="1ED287A9" w14:textId="110D0FEF" w:rsidR="0063126B" w:rsidRDefault="0063126B" w:rsidP="0063126B">
      <w:pPr>
        <w:pStyle w:val="NormalWeb"/>
        <w:jc w:val="both"/>
        <w:rPr>
          <w:rFonts w:ascii="Arial" w:hAnsi="Arial" w:cs="Arial"/>
          <w:sz w:val="21"/>
          <w:szCs w:val="21"/>
          <w:lang w:val="en-US"/>
        </w:rPr>
      </w:pPr>
      <w:r w:rsidRPr="0063126B">
        <w:rPr>
          <w:rFonts w:ascii="Arial" w:hAnsi="Arial" w:cs="Arial"/>
          <w:sz w:val="21"/>
          <w:szCs w:val="21"/>
          <w:lang w:val="en-US"/>
        </w:rPr>
        <w:t>ZMT is proud to be part of the vibrant UBRA research network, which is closely affiliated with the University of Bremen. As you prepare for your move, we highly recommend exploring the University’s "Welcome to Bremen/Germany" resources. They offer invaluable insights into local life, administrative steps, and navigating the city. Once in Bremen, you can also visit these facilities in person, as the ZMT campus is located close to the university campus.</w:t>
      </w:r>
    </w:p>
    <w:p w14:paraId="3D28ED7C" w14:textId="77777777" w:rsidR="00FC6867" w:rsidRPr="0063126B" w:rsidRDefault="00FC6867" w:rsidP="0063126B">
      <w:pPr>
        <w:pStyle w:val="NormalWeb"/>
        <w:jc w:val="both"/>
        <w:rPr>
          <w:rFonts w:ascii="Arial" w:hAnsi="Arial" w:cs="Arial"/>
          <w:sz w:val="21"/>
          <w:szCs w:val="21"/>
          <w:lang w:val="en-US"/>
        </w:rPr>
      </w:pPr>
    </w:p>
    <w:p w14:paraId="0DAB14F2" w14:textId="5A14038A" w:rsidR="0063126B" w:rsidRPr="00FC6867" w:rsidRDefault="0063126B" w:rsidP="0063126B">
      <w:pPr>
        <w:pStyle w:val="NormalWeb"/>
        <w:numPr>
          <w:ilvl w:val="0"/>
          <w:numId w:val="8"/>
        </w:numPr>
        <w:suppressAutoHyphens w:val="0"/>
        <w:spacing w:before="100" w:after="100"/>
        <w:rPr>
          <w:rFonts w:ascii="Arial" w:hAnsi="Arial" w:cs="Arial"/>
          <w:sz w:val="16"/>
          <w:szCs w:val="16"/>
          <w:lang w:val="en-US"/>
        </w:rPr>
      </w:pPr>
      <w:r w:rsidRPr="00FC6867">
        <w:rPr>
          <w:rFonts w:ascii="Arial" w:hAnsi="Arial" w:cs="Arial"/>
          <w:b/>
          <w:bCs/>
          <w:sz w:val="16"/>
          <w:szCs w:val="16"/>
          <w:lang w:val="en-US"/>
        </w:rPr>
        <w:t>UBRA Welcome Center Info &amp; Guide:</w:t>
      </w:r>
      <w:r w:rsidRPr="00FC6867">
        <w:rPr>
          <w:rFonts w:ascii="Arial" w:hAnsi="Arial" w:cs="Arial"/>
          <w:sz w:val="16"/>
          <w:szCs w:val="16"/>
          <w:lang w:val="en-US"/>
        </w:rPr>
        <w:t xml:space="preserve"> </w:t>
      </w:r>
      <w:r w:rsidR="006221F4">
        <w:rPr>
          <w:rFonts w:ascii="Arial" w:hAnsi="Arial" w:cs="Arial"/>
          <w:sz w:val="16"/>
          <w:szCs w:val="16"/>
          <w:lang w:val="en-US"/>
        </w:rPr>
        <w:br/>
      </w:r>
      <w:hyperlink r:id="rId9" w:history="1">
        <w:r w:rsidR="006221F4" w:rsidRPr="006221F4">
          <w:rPr>
            <w:rStyle w:val="Hyperlink"/>
            <w:rFonts w:ascii="Arial" w:eastAsiaTheme="majorEastAsia" w:hAnsi="Arial" w:cs="Arial"/>
            <w:color w:val="auto"/>
            <w:sz w:val="16"/>
            <w:szCs w:val="16"/>
            <w:lang w:val="en-US"/>
          </w:rPr>
          <w:t>https://www.bremen-research.de/en/welcome-guide</w:t>
        </w:r>
      </w:hyperlink>
      <w:r w:rsidRPr="00FC6867">
        <w:rPr>
          <w:rFonts w:ascii="Arial" w:hAnsi="Arial" w:cs="Arial"/>
          <w:sz w:val="16"/>
          <w:szCs w:val="16"/>
          <w:lang w:val="en-US"/>
        </w:rPr>
        <w:br/>
      </w:r>
    </w:p>
    <w:p w14:paraId="774F4461" w14:textId="45DDC1AF" w:rsidR="0063126B" w:rsidRPr="00FC6867" w:rsidRDefault="0063126B" w:rsidP="0063126B">
      <w:pPr>
        <w:pStyle w:val="NormalWeb"/>
        <w:numPr>
          <w:ilvl w:val="0"/>
          <w:numId w:val="8"/>
        </w:numPr>
        <w:suppressAutoHyphens w:val="0"/>
        <w:spacing w:before="100" w:after="100"/>
        <w:rPr>
          <w:rFonts w:ascii="Arial" w:hAnsi="Arial" w:cs="Arial"/>
          <w:sz w:val="16"/>
          <w:szCs w:val="16"/>
          <w:lang w:val="en-US"/>
        </w:rPr>
      </w:pPr>
      <w:r w:rsidRPr="00FC6867">
        <w:rPr>
          <w:rFonts w:ascii="Arial" w:hAnsi="Arial" w:cs="Arial"/>
          <w:b/>
          <w:bCs/>
          <w:sz w:val="16"/>
          <w:szCs w:val="16"/>
          <w:lang w:val="en-US"/>
        </w:rPr>
        <w:t>UBRA Welcome Center Contact &amp; Directions:</w:t>
      </w:r>
      <w:r w:rsidRPr="00FC6867">
        <w:rPr>
          <w:rFonts w:ascii="Arial" w:hAnsi="Arial" w:cs="Arial"/>
          <w:sz w:val="16"/>
          <w:szCs w:val="16"/>
          <w:lang w:val="en-US"/>
        </w:rPr>
        <w:t xml:space="preserve"> </w:t>
      </w:r>
      <w:r w:rsidR="006221F4">
        <w:rPr>
          <w:rFonts w:ascii="Arial" w:hAnsi="Arial" w:cs="Arial"/>
          <w:sz w:val="16"/>
          <w:szCs w:val="16"/>
          <w:lang w:val="en-US"/>
        </w:rPr>
        <w:br/>
      </w:r>
      <w:hyperlink r:id="rId10" w:history="1">
        <w:r w:rsidR="006221F4" w:rsidRPr="006221F4">
          <w:rPr>
            <w:rStyle w:val="Hyperlink"/>
            <w:rFonts w:ascii="Arial" w:eastAsiaTheme="majorEastAsia" w:hAnsi="Arial" w:cs="Arial"/>
            <w:color w:val="auto"/>
            <w:sz w:val="16"/>
            <w:szCs w:val="16"/>
            <w:lang w:val="en-US"/>
          </w:rPr>
          <w:t>https://www.bremen-research.de/en/welcome-center/contact-and-directions</w:t>
        </w:r>
      </w:hyperlink>
      <w:r w:rsidRPr="00FC6867">
        <w:rPr>
          <w:rFonts w:ascii="Arial" w:hAnsi="Arial" w:cs="Arial"/>
          <w:sz w:val="16"/>
          <w:szCs w:val="16"/>
          <w:lang w:val="en-US"/>
        </w:rPr>
        <w:br/>
      </w:r>
    </w:p>
    <w:p w14:paraId="36FF2D7B" w14:textId="640705B7" w:rsidR="0063126B" w:rsidRPr="00FC6867" w:rsidRDefault="0063126B" w:rsidP="0063126B">
      <w:pPr>
        <w:pStyle w:val="NormalWeb"/>
        <w:numPr>
          <w:ilvl w:val="0"/>
          <w:numId w:val="8"/>
        </w:numPr>
        <w:suppressAutoHyphens w:val="0"/>
        <w:spacing w:before="100" w:after="100"/>
        <w:rPr>
          <w:rFonts w:ascii="Arial" w:hAnsi="Arial" w:cs="Arial"/>
          <w:sz w:val="16"/>
          <w:szCs w:val="16"/>
          <w:lang w:val="en-US"/>
        </w:rPr>
      </w:pPr>
      <w:r w:rsidRPr="00FC6867">
        <w:rPr>
          <w:rFonts w:ascii="Arial" w:hAnsi="Arial" w:cs="Arial"/>
          <w:b/>
          <w:bCs/>
          <w:sz w:val="16"/>
          <w:szCs w:val="16"/>
          <w:lang w:val="en-US"/>
        </w:rPr>
        <w:t>UBRA Welcome Package:</w:t>
      </w:r>
      <w:r w:rsidRPr="00FC6867">
        <w:rPr>
          <w:rFonts w:ascii="Arial" w:hAnsi="Arial" w:cs="Arial"/>
          <w:sz w:val="16"/>
          <w:szCs w:val="16"/>
          <w:lang w:val="en-US"/>
        </w:rPr>
        <w:t xml:space="preserve"> </w:t>
      </w:r>
      <w:r w:rsidR="006221F4">
        <w:rPr>
          <w:rFonts w:ascii="Arial" w:hAnsi="Arial" w:cs="Arial"/>
          <w:sz w:val="16"/>
          <w:szCs w:val="16"/>
          <w:lang w:val="en-US"/>
        </w:rPr>
        <w:br/>
      </w:r>
      <w:hyperlink r:id="rId11" w:history="1">
        <w:r w:rsidR="006221F4" w:rsidRPr="006221F4">
          <w:rPr>
            <w:rStyle w:val="Hyperlink"/>
            <w:rFonts w:ascii="Arial" w:eastAsiaTheme="majorEastAsia" w:hAnsi="Arial" w:cs="Arial"/>
            <w:color w:val="auto"/>
            <w:sz w:val="16"/>
            <w:szCs w:val="16"/>
            <w:lang w:val="en-US"/>
          </w:rPr>
          <w:t>https://www.uni-bremen.de/en/research-alliance/welcome-center/forms-to-download/welcome-package</w:t>
        </w:r>
      </w:hyperlink>
      <w:r w:rsidRPr="00FC6867">
        <w:rPr>
          <w:rFonts w:ascii="Arial" w:hAnsi="Arial" w:cs="Arial"/>
          <w:sz w:val="16"/>
          <w:szCs w:val="16"/>
          <w:lang w:val="en-US"/>
        </w:rPr>
        <w:br/>
      </w:r>
    </w:p>
    <w:p w14:paraId="7680A56A" w14:textId="7FBCC024" w:rsidR="0063126B" w:rsidRPr="00FC6867" w:rsidRDefault="0063126B" w:rsidP="0063126B">
      <w:pPr>
        <w:pStyle w:val="NormalWeb"/>
        <w:numPr>
          <w:ilvl w:val="0"/>
          <w:numId w:val="8"/>
        </w:numPr>
        <w:suppressAutoHyphens w:val="0"/>
        <w:spacing w:before="100" w:after="100"/>
        <w:rPr>
          <w:rFonts w:ascii="Arial" w:hAnsi="Arial" w:cs="Arial"/>
          <w:sz w:val="16"/>
          <w:szCs w:val="16"/>
        </w:rPr>
      </w:pPr>
      <w:r w:rsidRPr="00FC6867">
        <w:rPr>
          <w:rFonts w:ascii="Arial" w:hAnsi="Arial" w:cs="Arial"/>
          <w:b/>
          <w:bCs/>
          <w:sz w:val="16"/>
          <w:szCs w:val="16"/>
        </w:rPr>
        <w:t>UBRA Willkommensmappe (English):</w:t>
      </w:r>
      <w:r w:rsidRPr="00FC6867">
        <w:rPr>
          <w:rFonts w:ascii="Arial" w:hAnsi="Arial" w:cs="Arial"/>
          <w:sz w:val="16"/>
          <w:szCs w:val="16"/>
        </w:rPr>
        <w:t xml:space="preserve"> </w:t>
      </w:r>
      <w:r w:rsidR="006221F4">
        <w:rPr>
          <w:rFonts w:ascii="Arial" w:hAnsi="Arial" w:cs="Arial"/>
          <w:sz w:val="16"/>
          <w:szCs w:val="16"/>
        </w:rPr>
        <w:br/>
      </w:r>
      <w:hyperlink r:id="rId12" w:history="1">
        <w:r w:rsidR="006221F4" w:rsidRPr="006221F4">
          <w:rPr>
            <w:rStyle w:val="Hyperlink"/>
            <w:rFonts w:ascii="Arial" w:eastAsiaTheme="majorEastAsia" w:hAnsi="Arial" w:cs="Arial"/>
            <w:color w:val="auto"/>
            <w:sz w:val="16"/>
            <w:szCs w:val="16"/>
          </w:rPr>
          <w:t>https://www.bremen-research.de/en/welcome-center/translate-to-english-downloads/translate-to-english-willkommensmappe</w:t>
        </w:r>
      </w:hyperlink>
      <w:r w:rsidRPr="00FC6867">
        <w:rPr>
          <w:rFonts w:ascii="Arial" w:hAnsi="Arial" w:cs="Arial"/>
          <w:sz w:val="16"/>
          <w:szCs w:val="16"/>
        </w:rPr>
        <w:br/>
      </w:r>
    </w:p>
    <w:p w14:paraId="4056DCA0" w14:textId="062DD209" w:rsidR="0063126B" w:rsidRPr="00FC6867" w:rsidRDefault="0063126B" w:rsidP="0063126B">
      <w:pPr>
        <w:pStyle w:val="NormalWeb"/>
        <w:numPr>
          <w:ilvl w:val="0"/>
          <w:numId w:val="8"/>
        </w:numPr>
        <w:suppressAutoHyphens w:val="0"/>
        <w:spacing w:before="100" w:after="100"/>
        <w:rPr>
          <w:rFonts w:ascii="Arial" w:hAnsi="Arial" w:cs="Arial"/>
          <w:sz w:val="16"/>
          <w:szCs w:val="16"/>
          <w:lang w:val="en-US"/>
        </w:rPr>
      </w:pPr>
      <w:r w:rsidRPr="00FC6867">
        <w:rPr>
          <w:rFonts w:ascii="Arial" w:hAnsi="Arial" w:cs="Arial"/>
          <w:b/>
          <w:bCs/>
          <w:sz w:val="16"/>
          <w:szCs w:val="16"/>
          <w:lang w:val="en-US"/>
        </w:rPr>
        <w:t>UBRA Arrival Checklist &amp; Addresses:</w:t>
      </w:r>
      <w:r w:rsidRPr="00FC6867">
        <w:rPr>
          <w:rFonts w:ascii="Arial" w:hAnsi="Arial" w:cs="Arial"/>
          <w:sz w:val="16"/>
          <w:szCs w:val="16"/>
          <w:lang w:val="en-US"/>
        </w:rPr>
        <w:t xml:space="preserve"> </w:t>
      </w:r>
      <w:r w:rsidR="006221F4">
        <w:rPr>
          <w:rFonts w:ascii="Arial" w:hAnsi="Arial" w:cs="Arial"/>
          <w:sz w:val="16"/>
          <w:szCs w:val="16"/>
          <w:lang w:val="en-US"/>
        </w:rPr>
        <w:br/>
      </w:r>
      <w:hyperlink r:id="rId13" w:history="1">
        <w:r w:rsidR="006221F4" w:rsidRPr="006221F4">
          <w:rPr>
            <w:rStyle w:val="Hyperlink"/>
            <w:rFonts w:ascii="Arial" w:eastAsiaTheme="majorEastAsia" w:hAnsi="Arial" w:cs="Arial"/>
            <w:color w:val="auto"/>
            <w:sz w:val="16"/>
            <w:szCs w:val="16"/>
            <w:lang w:val="en-US"/>
          </w:rPr>
          <w:t>https://www.bremen-research.de/fileadmin/user_upload/pdf/Arrival_Checklist__2_.pdf</w:t>
        </w:r>
      </w:hyperlink>
      <w:r w:rsidRPr="00FC6867">
        <w:rPr>
          <w:rFonts w:ascii="Arial" w:hAnsi="Arial" w:cs="Arial"/>
          <w:sz w:val="16"/>
          <w:szCs w:val="16"/>
          <w:lang w:val="en-US"/>
        </w:rPr>
        <w:br/>
      </w:r>
    </w:p>
    <w:p w14:paraId="5F5ACF8C" w14:textId="4FCDC809" w:rsidR="0063126B" w:rsidRPr="00FC6867" w:rsidRDefault="0063126B" w:rsidP="0063126B">
      <w:pPr>
        <w:pStyle w:val="NormalWeb"/>
        <w:numPr>
          <w:ilvl w:val="0"/>
          <w:numId w:val="8"/>
        </w:numPr>
        <w:suppressAutoHyphens w:val="0"/>
        <w:spacing w:before="100" w:after="100"/>
        <w:rPr>
          <w:rFonts w:ascii="Arial" w:hAnsi="Arial" w:cs="Arial"/>
          <w:sz w:val="16"/>
          <w:szCs w:val="16"/>
          <w:lang w:val="en-US"/>
        </w:rPr>
      </w:pPr>
      <w:r w:rsidRPr="00FC6867">
        <w:rPr>
          <w:rFonts w:ascii="Arial" w:hAnsi="Arial" w:cs="Arial"/>
          <w:b/>
          <w:bCs/>
          <w:sz w:val="16"/>
          <w:szCs w:val="16"/>
          <w:lang w:val="en-US"/>
        </w:rPr>
        <w:t>UBRA Arrival in Bremen:</w:t>
      </w:r>
      <w:r w:rsidRPr="00FC6867">
        <w:rPr>
          <w:rFonts w:ascii="Arial" w:hAnsi="Arial" w:cs="Arial"/>
          <w:sz w:val="16"/>
          <w:szCs w:val="16"/>
          <w:lang w:val="en-US"/>
        </w:rPr>
        <w:t xml:space="preserve"> </w:t>
      </w:r>
      <w:r w:rsidR="006221F4">
        <w:rPr>
          <w:rFonts w:ascii="Arial" w:hAnsi="Arial" w:cs="Arial"/>
          <w:sz w:val="16"/>
          <w:szCs w:val="16"/>
          <w:lang w:val="en-US"/>
        </w:rPr>
        <w:br/>
      </w:r>
      <w:hyperlink r:id="rId14" w:history="1">
        <w:r w:rsidR="006221F4" w:rsidRPr="006221F4">
          <w:rPr>
            <w:rStyle w:val="Hyperlink"/>
            <w:rFonts w:ascii="Arial" w:eastAsiaTheme="majorEastAsia" w:hAnsi="Arial" w:cs="Arial"/>
            <w:color w:val="auto"/>
            <w:sz w:val="16"/>
            <w:szCs w:val="16"/>
            <w:lang w:val="en-US"/>
          </w:rPr>
          <w:t>https://www.bremen-research.de/en/welcome-center/translate-to-english-ankunft-im-land-bremen</w:t>
        </w:r>
      </w:hyperlink>
    </w:p>
    <w:p w14:paraId="40D33B11" w14:textId="49982D8B" w:rsidR="00285723" w:rsidRDefault="0063126B">
      <w:pPr>
        <w:keepNext/>
        <w:spacing w:before="280" w:after="80"/>
        <w:jc w:val="both"/>
        <w:rPr>
          <w:rFonts w:ascii="Avenir LT Pro 55 Roman" w:hAnsi="Avenir LT Pro 55 Roman"/>
          <w:b/>
          <w:color w:val="008ECA"/>
          <w:sz w:val="24"/>
        </w:rPr>
      </w:pPr>
      <w:r>
        <w:rPr>
          <w:rFonts w:ascii="Avenir LT Pro 55 Roman" w:hAnsi="Avenir LT Pro 55 Roman"/>
          <w:b/>
          <w:color w:val="008ECA"/>
          <w:sz w:val="24"/>
        </w:rPr>
        <w:br/>
      </w:r>
      <w:r w:rsidR="001C544A">
        <w:rPr>
          <w:rFonts w:ascii="Avenir LT Pro 55 Roman" w:hAnsi="Avenir LT Pro 55 Roman"/>
          <w:b/>
          <w:color w:val="008ECA"/>
          <w:sz w:val="24"/>
        </w:rPr>
        <w:t xml:space="preserve">2. </w:t>
      </w:r>
      <w:r>
        <w:rPr>
          <w:rFonts w:ascii="Avenir LT Pro 55 Roman" w:hAnsi="Avenir LT Pro 55 Roman"/>
          <w:b/>
          <w:color w:val="008ECA"/>
          <w:sz w:val="24"/>
        </w:rPr>
        <w:t>Visa Arrangements</w:t>
      </w:r>
    </w:p>
    <w:p w14:paraId="49246A9B" w14:textId="77777777" w:rsidR="00FC6867" w:rsidRDefault="00FC6867" w:rsidP="0063126B">
      <w:pPr>
        <w:spacing w:after="120"/>
        <w:jc w:val="both"/>
        <w:rPr>
          <w:rFonts w:ascii="Avenir LT Pro 55 Roman" w:hAnsi="Avenir LT Pro 55 Roman"/>
          <w:color w:val="008ECA"/>
        </w:rPr>
      </w:pPr>
    </w:p>
    <w:p w14:paraId="3CA4DC92" w14:textId="28E7368C" w:rsidR="00285723" w:rsidRPr="0063126B" w:rsidRDefault="0063126B" w:rsidP="0063126B">
      <w:pPr>
        <w:spacing w:after="120"/>
        <w:jc w:val="both"/>
        <w:rPr>
          <w:rFonts w:ascii="Avenir LT Pro 55 Roman" w:hAnsi="Avenir LT Pro 55 Roman"/>
          <w:b/>
          <w:color w:val="008ECA"/>
          <w:szCs w:val="21"/>
        </w:rPr>
      </w:pPr>
      <w:r w:rsidRPr="0063126B">
        <w:rPr>
          <w:rFonts w:cs="Arial"/>
          <w:szCs w:val="21"/>
        </w:rPr>
        <w:t xml:space="preserve">Please inform yourself about the specific visa requirements for your country of origin. Official information can be found on the website of the </w:t>
      </w:r>
      <w:hyperlink r:id="rId15" w:history="1">
        <w:r w:rsidRPr="00C27A33">
          <w:rPr>
            <w:rStyle w:val="Hyperlink"/>
            <w:rFonts w:cs="Arial"/>
            <w:color w:val="auto"/>
            <w:szCs w:val="21"/>
          </w:rPr>
          <w:t>Federal Foreign Office</w:t>
        </w:r>
      </w:hyperlink>
      <w:r w:rsidRPr="0063126B">
        <w:rPr>
          <w:rFonts w:cs="Arial"/>
          <w:szCs w:val="21"/>
        </w:rPr>
        <w:t xml:space="preserve"> or via the German Embassy in your home country. Please initiate the application process well in advance. Administrative processing for visas and supporting documentation can take several weeks (usually 6 to 8 weeks). Having your documentation in order early is vital for a timely start.</w:t>
      </w:r>
    </w:p>
    <w:p w14:paraId="1BAE9041" w14:textId="77777777" w:rsidR="00285723" w:rsidRDefault="00285723">
      <w:pPr>
        <w:spacing w:after="120"/>
        <w:jc w:val="both"/>
        <w:rPr>
          <w:rFonts w:ascii="Avenir LT Pro 55 Roman" w:hAnsi="Avenir LT Pro 55 Roman"/>
          <w:b/>
          <w:color w:val="008ECA"/>
          <w:sz w:val="24"/>
        </w:rPr>
      </w:pPr>
    </w:p>
    <w:p w14:paraId="12E0BE78" w14:textId="5A69C333" w:rsidR="00285723" w:rsidRDefault="001C544A">
      <w:pPr>
        <w:spacing w:after="120"/>
        <w:jc w:val="both"/>
      </w:pPr>
      <w:r>
        <w:rPr>
          <w:rFonts w:ascii="Avenir LT Pro 55 Roman" w:hAnsi="Avenir LT Pro 55 Roman"/>
          <w:b/>
          <w:color w:val="008ECA"/>
          <w:sz w:val="24"/>
        </w:rPr>
        <w:lastRenderedPageBreak/>
        <w:t xml:space="preserve">3. </w:t>
      </w:r>
      <w:r w:rsidR="0063126B">
        <w:rPr>
          <w:rFonts w:ascii="Avenir LT Pro 55 Roman" w:hAnsi="Avenir LT Pro 55 Roman"/>
          <w:b/>
          <w:color w:val="008ECA"/>
          <w:sz w:val="24"/>
        </w:rPr>
        <w:t>Financial Logistics</w:t>
      </w:r>
    </w:p>
    <w:p w14:paraId="2170920E" w14:textId="77777777" w:rsidR="0063126B" w:rsidRPr="0063126B" w:rsidRDefault="0063126B" w:rsidP="0063126B">
      <w:pPr>
        <w:suppressAutoHyphens w:val="0"/>
        <w:spacing w:before="100" w:beforeAutospacing="1" w:after="100" w:afterAutospacing="1" w:line="240" w:lineRule="auto"/>
        <w:jc w:val="both"/>
        <w:rPr>
          <w:rFonts w:eastAsia="Times New Roman" w:cs="Arial"/>
          <w:szCs w:val="21"/>
          <w:lang w:eastAsia="de-DE"/>
        </w:rPr>
      </w:pPr>
      <w:r w:rsidRPr="0063126B">
        <w:rPr>
          <w:rFonts w:eastAsia="Times New Roman" w:cs="Arial"/>
          <w:szCs w:val="21"/>
          <w:lang w:eastAsia="de-DE"/>
        </w:rPr>
        <w:t>For ease of international transactions, we recommend using Wise (formerly TransferWise).</w:t>
      </w:r>
    </w:p>
    <w:p w14:paraId="769FF8A7" w14:textId="5FB2EC2E" w:rsidR="0063126B" w:rsidRPr="0063126B" w:rsidRDefault="0063126B" w:rsidP="0063126B">
      <w:pPr>
        <w:numPr>
          <w:ilvl w:val="0"/>
          <w:numId w:val="9"/>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b/>
          <w:bCs/>
          <w:szCs w:val="21"/>
          <w:lang w:eastAsia="de-DE"/>
        </w:rPr>
        <w:t>Why?</w:t>
      </w:r>
      <w:r w:rsidRPr="0063126B">
        <w:rPr>
          <w:rFonts w:eastAsia="Times New Roman" w:cs="Arial"/>
          <w:szCs w:val="21"/>
          <w:lang w:eastAsia="de-DE"/>
        </w:rPr>
        <w:t xml:space="preserve"> They provide European account numbers (IBAN), which allows ZMT to transfer your funds seamlessly.</w:t>
      </w:r>
      <w:r>
        <w:rPr>
          <w:rFonts w:eastAsia="Times New Roman" w:cs="Arial"/>
          <w:szCs w:val="21"/>
          <w:lang w:eastAsia="de-DE"/>
        </w:rPr>
        <w:br/>
      </w:r>
    </w:p>
    <w:p w14:paraId="72130923" w14:textId="6095248B" w:rsidR="0063126B" w:rsidRPr="0063126B" w:rsidRDefault="0063126B" w:rsidP="0063126B">
      <w:pPr>
        <w:numPr>
          <w:ilvl w:val="0"/>
          <w:numId w:val="9"/>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b/>
          <w:bCs/>
          <w:szCs w:val="21"/>
          <w:lang w:eastAsia="de-DE"/>
        </w:rPr>
        <w:t>Benefit:</w:t>
      </w:r>
      <w:r w:rsidRPr="0063126B">
        <w:rPr>
          <w:rFonts w:eastAsia="Times New Roman" w:cs="Arial"/>
          <w:szCs w:val="21"/>
          <w:lang w:eastAsia="de-DE"/>
        </w:rPr>
        <w:t xml:space="preserve"> This platform typically offers lower fees and faster processing times for receiving your allowances.</w:t>
      </w:r>
      <w:r>
        <w:rPr>
          <w:rFonts w:eastAsia="Times New Roman" w:cs="Arial"/>
          <w:szCs w:val="21"/>
          <w:lang w:eastAsia="de-DE"/>
        </w:rPr>
        <w:br/>
      </w:r>
    </w:p>
    <w:p w14:paraId="5F528843" w14:textId="444FBDF9" w:rsidR="0063126B" w:rsidRPr="0063126B" w:rsidRDefault="0063126B" w:rsidP="0063126B">
      <w:pPr>
        <w:numPr>
          <w:ilvl w:val="0"/>
          <w:numId w:val="9"/>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szCs w:val="21"/>
          <w:lang w:eastAsia="de-DE"/>
        </w:rPr>
        <w:t>For further details, please refer to the s</w:t>
      </w:r>
      <w:r>
        <w:rPr>
          <w:rFonts w:eastAsia="Times New Roman" w:cs="Arial"/>
          <w:szCs w:val="21"/>
          <w:lang w:eastAsia="de-DE"/>
        </w:rPr>
        <w:t>eparate</w:t>
      </w:r>
      <w:r w:rsidRPr="0063126B">
        <w:rPr>
          <w:rFonts w:eastAsia="Times New Roman" w:cs="Arial"/>
          <w:szCs w:val="21"/>
          <w:lang w:eastAsia="de-DE"/>
        </w:rPr>
        <w:t xml:space="preserve"> information sheet.</w:t>
      </w:r>
    </w:p>
    <w:p w14:paraId="111725F5" w14:textId="1552B82F" w:rsidR="00285723" w:rsidRDefault="001C544A">
      <w:pPr>
        <w:spacing w:after="60"/>
        <w:ind w:left="360"/>
        <w:jc w:val="both"/>
      </w:pPr>
      <w:r>
        <w:br/>
      </w:r>
    </w:p>
    <w:p w14:paraId="4017EDFD" w14:textId="042C99C2" w:rsidR="00285723" w:rsidRDefault="001C544A">
      <w:pPr>
        <w:keepNext/>
        <w:spacing w:before="280" w:after="80"/>
        <w:jc w:val="both"/>
        <w:rPr>
          <w:rFonts w:ascii="Avenir LT Pro 55 Roman" w:hAnsi="Avenir LT Pro 55 Roman"/>
          <w:color w:val="008ECA"/>
        </w:rPr>
      </w:pPr>
      <w:r>
        <w:rPr>
          <w:rFonts w:ascii="Avenir LT Pro 55 Roman" w:hAnsi="Avenir LT Pro 55 Roman"/>
          <w:b/>
          <w:color w:val="008ECA"/>
          <w:sz w:val="24"/>
        </w:rPr>
        <w:t xml:space="preserve">4. </w:t>
      </w:r>
      <w:r w:rsidR="0063126B">
        <w:rPr>
          <w:rFonts w:ascii="Avenir LT Pro 55 Roman" w:hAnsi="Avenir LT Pro 55 Roman"/>
          <w:b/>
          <w:color w:val="008ECA"/>
          <w:sz w:val="24"/>
        </w:rPr>
        <w:t>Health and Travel Insurance</w:t>
      </w:r>
    </w:p>
    <w:p w14:paraId="1243A320" w14:textId="77777777" w:rsidR="0063126B" w:rsidRPr="0063126B" w:rsidRDefault="0063126B" w:rsidP="0063126B">
      <w:pPr>
        <w:spacing w:before="100" w:beforeAutospacing="1" w:after="100" w:afterAutospacing="1" w:line="240" w:lineRule="auto"/>
        <w:jc w:val="both"/>
        <w:rPr>
          <w:rFonts w:eastAsia="Times New Roman" w:cs="Arial"/>
          <w:szCs w:val="21"/>
          <w:lang w:eastAsia="de-DE"/>
        </w:rPr>
      </w:pPr>
      <w:r w:rsidRPr="0063126B">
        <w:rPr>
          <w:rFonts w:eastAsia="Times New Roman" w:cs="Arial"/>
          <w:szCs w:val="21"/>
          <w:lang w:eastAsia="de-DE"/>
        </w:rPr>
        <w:t>Please note that ZMT is legally restricted from recommending specific insurance providers. However, we strongly suggest:</w:t>
      </w:r>
    </w:p>
    <w:p w14:paraId="47D5B6ED" w14:textId="79675EB3" w:rsidR="0063126B" w:rsidRPr="0063126B" w:rsidRDefault="0063126B" w:rsidP="0063126B">
      <w:pPr>
        <w:numPr>
          <w:ilvl w:val="0"/>
          <w:numId w:val="10"/>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szCs w:val="21"/>
          <w:lang w:eastAsia="de-DE"/>
        </w:rPr>
        <w:t>Informing yourself on</w:t>
      </w:r>
      <w:r w:rsidRPr="0063126B">
        <w:rPr>
          <w:rFonts w:eastAsia="Times New Roman" w:cs="Arial"/>
          <w:b/>
          <w:bCs/>
          <w:szCs w:val="21"/>
          <w:lang w:eastAsia="de-DE"/>
        </w:rPr>
        <w:t xml:space="preserve"> travel insurance</w:t>
      </w:r>
      <w:r w:rsidRPr="0063126B">
        <w:rPr>
          <w:rFonts w:eastAsia="Times New Roman" w:cs="Arial"/>
          <w:szCs w:val="21"/>
          <w:lang w:eastAsia="de-DE"/>
        </w:rPr>
        <w:t xml:space="preserve"> for your Visa application.</w:t>
      </w:r>
      <w:r w:rsidRPr="0063126B">
        <w:rPr>
          <w:rFonts w:eastAsia="Times New Roman" w:cs="Arial"/>
          <w:szCs w:val="21"/>
          <w:lang w:eastAsia="de-DE"/>
        </w:rPr>
        <w:br/>
      </w:r>
    </w:p>
    <w:p w14:paraId="710D327B" w14:textId="0DA8FCD4" w:rsidR="0063126B" w:rsidRPr="0063126B" w:rsidRDefault="0063126B" w:rsidP="0063126B">
      <w:pPr>
        <w:numPr>
          <w:ilvl w:val="0"/>
          <w:numId w:val="10"/>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szCs w:val="21"/>
          <w:lang w:eastAsia="de-DE"/>
        </w:rPr>
        <w:t xml:space="preserve">Securing </w:t>
      </w:r>
      <w:r w:rsidRPr="0063126B">
        <w:rPr>
          <w:rFonts w:eastAsia="Times New Roman" w:cs="Arial"/>
          <w:b/>
          <w:bCs/>
          <w:szCs w:val="21"/>
          <w:lang w:eastAsia="de-DE"/>
        </w:rPr>
        <w:t>comprehensive travel insurance</w:t>
      </w:r>
      <w:r w:rsidRPr="0063126B">
        <w:rPr>
          <w:rFonts w:eastAsia="Times New Roman" w:cs="Arial"/>
          <w:szCs w:val="21"/>
          <w:lang w:eastAsia="de-DE"/>
        </w:rPr>
        <w:t xml:space="preserve"> for your initial transit.</w:t>
      </w:r>
      <w:r w:rsidRPr="0063126B">
        <w:rPr>
          <w:rFonts w:eastAsia="Times New Roman" w:cs="Arial"/>
          <w:szCs w:val="21"/>
          <w:lang w:eastAsia="de-DE"/>
        </w:rPr>
        <w:br/>
      </w:r>
    </w:p>
    <w:p w14:paraId="6CD773B1" w14:textId="77777777" w:rsidR="0063126B" w:rsidRPr="0063126B" w:rsidRDefault="0063126B" w:rsidP="0063126B">
      <w:pPr>
        <w:numPr>
          <w:ilvl w:val="0"/>
          <w:numId w:val="10"/>
        </w:numPr>
        <w:suppressAutoHyphens w:val="0"/>
        <w:spacing w:before="100" w:beforeAutospacing="1" w:after="100" w:afterAutospacing="1" w:line="240" w:lineRule="auto"/>
        <w:rPr>
          <w:rFonts w:eastAsia="Times New Roman" w:cs="Arial"/>
          <w:szCs w:val="21"/>
          <w:lang w:eastAsia="de-DE"/>
        </w:rPr>
      </w:pPr>
      <w:r w:rsidRPr="0063126B">
        <w:rPr>
          <w:rFonts w:eastAsia="Times New Roman" w:cs="Arial"/>
          <w:szCs w:val="21"/>
          <w:lang w:eastAsia="de-DE"/>
        </w:rPr>
        <w:t xml:space="preserve">Browsing for specialized </w:t>
      </w:r>
      <w:r w:rsidRPr="0063126B">
        <w:rPr>
          <w:rFonts w:eastAsia="Times New Roman" w:cs="Arial"/>
          <w:b/>
          <w:bCs/>
          <w:szCs w:val="21"/>
          <w:lang w:eastAsia="de-DE"/>
        </w:rPr>
        <w:t>"researcher insurance"</w:t>
      </w:r>
      <w:r w:rsidRPr="0063126B">
        <w:rPr>
          <w:rFonts w:eastAsia="Times New Roman" w:cs="Arial"/>
          <w:szCs w:val="21"/>
          <w:lang w:eastAsia="de-DE"/>
        </w:rPr>
        <w:t xml:space="preserve"> designed for international academic stays to ensure you have adequate health coverage while in Germany.</w:t>
      </w:r>
    </w:p>
    <w:p w14:paraId="553FFB80" w14:textId="77777777" w:rsidR="00285723" w:rsidRDefault="00285723">
      <w:pPr>
        <w:spacing w:before="280" w:after="80"/>
        <w:jc w:val="both"/>
        <w:rPr>
          <w:rFonts w:ascii="Avenir LT Pro 55 Roman" w:hAnsi="Avenir LT Pro 55 Roman"/>
          <w:color w:val="008ECA"/>
        </w:rPr>
      </w:pPr>
    </w:p>
    <w:p w14:paraId="12A04CD9" w14:textId="54A138DC" w:rsidR="00285723" w:rsidRDefault="001C544A">
      <w:pPr>
        <w:spacing w:before="280" w:after="80"/>
        <w:jc w:val="both"/>
        <w:rPr>
          <w:rFonts w:ascii="Avenir LT Pro 55 Roman" w:hAnsi="Avenir LT Pro 55 Roman"/>
          <w:color w:val="008ECA"/>
        </w:rPr>
      </w:pPr>
      <w:r>
        <w:rPr>
          <w:rFonts w:ascii="Avenir LT Pro 55 Roman" w:hAnsi="Avenir LT Pro 55 Roman"/>
          <w:b/>
          <w:color w:val="008ECA"/>
          <w:sz w:val="24"/>
        </w:rPr>
        <w:t xml:space="preserve">5. </w:t>
      </w:r>
      <w:r w:rsidR="0063126B">
        <w:rPr>
          <w:rFonts w:ascii="Avenir LT Pro 55 Roman" w:hAnsi="Avenir LT Pro 55 Roman"/>
          <w:b/>
          <w:color w:val="008ECA"/>
          <w:sz w:val="24"/>
        </w:rPr>
        <w:t>Funding Schedule</w:t>
      </w:r>
    </w:p>
    <w:p w14:paraId="53BFC99A" w14:textId="77777777" w:rsidR="0063126B" w:rsidRPr="00F42477" w:rsidRDefault="0063126B" w:rsidP="0063126B">
      <w:pPr>
        <w:spacing w:before="100" w:beforeAutospacing="1" w:after="100" w:afterAutospacing="1" w:line="240" w:lineRule="auto"/>
        <w:rPr>
          <w:rFonts w:eastAsia="Times New Roman" w:cs="Arial"/>
          <w:szCs w:val="21"/>
          <w:lang w:eastAsia="de-DE"/>
        </w:rPr>
      </w:pPr>
      <w:r w:rsidRPr="00F42477">
        <w:rPr>
          <w:rFonts w:eastAsia="Times New Roman" w:cs="Arial"/>
          <w:szCs w:val="21"/>
          <w:lang w:eastAsia="de-DE"/>
        </w:rPr>
        <w:t>Your stay is supported by a structured allowance system designed to give you autonomy over your travel and living arrangements.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2"/>
        <w:gridCol w:w="2566"/>
        <w:gridCol w:w="5176"/>
      </w:tblGrid>
      <w:tr w:rsidR="0063126B" w:rsidRPr="00F42477" w14:paraId="47D1065B" w14:textId="77777777" w:rsidTr="00CD7FB6">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A5E8BE"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b/>
                <w:bCs/>
                <w:sz w:val="16"/>
                <w:szCs w:val="16"/>
                <w:lang w:eastAsia="de-DE"/>
              </w:rPr>
              <w:t>Payment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DEAC06"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b/>
                <w:bCs/>
                <w:sz w:val="16"/>
                <w:szCs w:val="16"/>
                <w:lang w:eastAsia="de-DE"/>
              </w:rPr>
              <w:t>Amount / Schedule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7A2457"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b/>
                <w:bCs/>
                <w:sz w:val="16"/>
                <w:szCs w:val="16"/>
                <w:lang w:eastAsia="de-DE"/>
              </w:rPr>
              <w:t>Purpose &amp; Notes</w:t>
            </w:r>
          </w:p>
        </w:tc>
      </w:tr>
      <w:tr w:rsidR="0063126B" w:rsidRPr="00F42477" w14:paraId="5A5D3B9A" w14:textId="77777777" w:rsidTr="00CD7FB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EDA880"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b/>
                <w:bCs/>
                <w:sz w:val="16"/>
                <w:szCs w:val="16"/>
                <w:lang w:eastAsia="de-DE"/>
              </w:rPr>
              <w:t>Travel Allowance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660F5E"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sz w:val="16"/>
                <w:szCs w:val="16"/>
                <w:lang w:eastAsia="de-DE"/>
              </w:rPr>
              <w:t>€1,200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684CF6"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sz w:val="16"/>
                <w:szCs w:val="16"/>
                <w:lang w:eastAsia="de-DE"/>
              </w:rPr>
              <w:t>Paid approx. 6 weeks before your start date. You are responsible for booking your own round-trip flights.</w:t>
            </w:r>
          </w:p>
        </w:tc>
      </w:tr>
      <w:tr w:rsidR="0063126B" w:rsidRPr="00F42477" w14:paraId="44368EBC" w14:textId="77777777" w:rsidTr="00CD7FB6">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C472AA"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b/>
                <w:bCs/>
                <w:sz w:val="16"/>
                <w:szCs w:val="16"/>
                <w:lang w:eastAsia="de-DE"/>
              </w:rPr>
              <w:t>Monthly Allowance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6FB6EE"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sz w:val="16"/>
                <w:szCs w:val="16"/>
                <w:lang w:eastAsia="de-DE"/>
              </w:rPr>
              <w:t>€1,400</w:t>
            </w:r>
            <w:r w:rsidRPr="00FC6867">
              <w:rPr>
                <w:rFonts w:eastAsia="Times New Roman" w:cs="Arial"/>
                <w:b/>
                <w:bCs/>
                <w:sz w:val="16"/>
                <w:szCs w:val="16"/>
                <w:lang w:eastAsia="de-DE"/>
              </w:rPr>
              <w:br/>
            </w:r>
            <w:r w:rsidRPr="00FC6867">
              <w:rPr>
                <w:rFonts w:eastAsia="Times New Roman" w:cs="Arial"/>
                <w:b/>
                <w:bCs/>
                <w:sz w:val="16"/>
                <w:szCs w:val="16"/>
                <w:lang w:eastAsia="de-DE"/>
              </w:rPr>
              <w:br/>
              <w:t>50%</w:t>
            </w:r>
            <w:r w:rsidRPr="00FC6867">
              <w:rPr>
                <w:rFonts w:eastAsia="Times New Roman" w:cs="Arial"/>
                <w:sz w:val="16"/>
                <w:szCs w:val="16"/>
                <w:lang w:eastAsia="de-DE"/>
              </w:rPr>
              <w:t xml:space="preserve"> upon arrival / </w:t>
            </w:r>
            <w:r w:rsidRPr="00FC6867">
              <w:rPr>
                <w:rFonts w:eastAsia="Times New Roman" w:cs="Arial"/>
                <w:b/>
                <w:bCs/>
                <w:sz w:val="16"/>
                <w:szCs w:val="16"/>
                <w:lang w:eastAsia="de-DE"/>
              </w:rPr>
              <w:t>50%</w:t>
            </w:r>
            <w:r w:rsidRPr="00FC6867">
              <w:rPr>
                <w:rFonts w:eastAsia="Times New Roman" w:cs="Arial"/>
                <w:sz w:val="16"/>
                <w:szCs w:val="16"/>
                <w:lang w:eastAsia="de-DE"/>
              </w:rPr>
              <w:t xml:space="preserve"> mid-way through stay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C993C5" w14:textId="77777777" w:rsidR="0063126B" w:rsidRPr="00FC6867" w:rsidRDefault="0063126B" w:rsidP="00CD7FB6">
            <w:pPr>
              <w:spacing w:after="480" w:line="240" w:lineRule="auto"/>
              <w:rPr>
                <w:rFonts w:eastAsia="Times New Roman" w:cs="Arial"/>
                <w:sz w:val="16"/>
                <w:szCs w:val="16"/>
                <w:lang w:eastAsia="de-DE"/>
              </w:rPr>
            </w:pPr>
            <w:r w:rsidRPr="00FC6867">
              <w:rPr>
                <w:rFonts w:eastAsia="Times New Roman" w:cs="Arial"/>
                <w:sz w:val="16"/>
                <w:szCs w:val="16"/>
                <w:lang w:eastAsia="de-DE"/>
              </w:rPr>
              <w:t>Covers all other expenses (accommodation, insurance, local transport, etc.).</w:t>
            </w:r>
          </w:p>
        </w:tc>
      </w:tr>
    </w:tbl>
    <w:p w14:paraId="7C0E958A" w14:textId="77777777" w:rsidR="0063126B" w:rsidRPr="00F42477" w:rsidRDefault="0063126B" w:rsidP="00C27A33">
      <w:pPr>
        <w:spacing w:beforeAutospacing="1" w:after="100" w:afterAutospacing="1" w:line="240" w:lineRule="auto"/>
        <w:jc w:val="both"/>
        <w:rPr>
          <w:rFonts w:eastAsia="Times New Roman" w:cs="Arial"/>
          <w:szCs w:val="21"/>
          <w:lang w:eastAsia="de-DE"/>
        </w:rPr>
      </w:pPr>
      <w:r w:rsidRPr="00F42477">
        <w:rPr>
          <w:rFonts w:eastAsia="Times New Roman" w:cs="Arial"/>
          <w:b/>
          <w:bCs/>
          <w:szCs w:val="21"/>
          <w:lang w:eastAsia="de-DE"/>
        </w:rPr>
        <w:lastRenderedPageBreak/>
        <w:t>A Note on Financial Management:</w:t>
      </w:r>
      <w:r w:rsidRPr="00F42477">
        <w:rPr>
          <w:rFonts w:eastAsia="Times New Roman" w:cs="Arial"/>
          <w:szCs w:val="21"/>
          <w:lang w:eastAsia="de-DE"/>
        </w:rPr>
        <w:t xml:space="preserve"> You are not required to submit individual receipts for your expenses to us. However, by accepting this funding, you commit to the </w:t>
      </w:r>
      <w:r w:rsidRPr="00F42477">
        <w:rPr>
          <w:rFonts w:eastAsia="Times New Roman" w:cs="Arial"/>
          <w:b/>
          <w:bCs/>
          <w:szCs w:val="21"/>
          <w:lang w:eastAsia="de-DE"/>
        </w:rPr>
        <w:t>sensible and professional management</w:t>
      </w:r>
      <w:r w:rsidRPr="00F42477">
        <w:rPr>
          <w:rFonts w:eastAsia="Times New Roman" w:cs="Arial"/>
          <w:szCs w:val="21"/>
          <w:lang w:eastAsia="de-DE"/>
        </w:rPr>
        <w:t xml:space="preserve"> of these resources to ensure they fully support the objectives of your research stay.</w:t>
      </w:r>
    </w:p>
    <w:p w14:paraId="5744C769" w14:textId="475F8950" w:rsidR="00F42477" w:rsidRPr="00F42477" w:rsidRDefault="00F42477" w:rsidP="00C27A33">
      <w:pPr>
        <w:spacing w:before="100" w:beforeAutospacing="1" w:after="100" w:afterAutospacing="1" w:line="240" w:lineRule="auto"/>
        <w:jc w:val="both"/>
        <w:rPr>
          <w:rFonts w:eastAsia="Times New Roman" w:cs="Arial"/>
          <w:szCs w:val="21"/>
          <w:lang w:eastAsia="de-DE"/>
        </w:rPr>
      </w:pPr>
      <w:r w:rsidRPr="00F42477">
        <w:rPr>
          <w:rFonts w:eastAsia="Times New Roman" w:cs="Arial"/>
          <w:szCs w:val="21"/>
          <w:lang w:eastAsia="de-DE"/>
        </w:rPr>
        <w:t xml:space="preserve">We are very much looking forward to </w:t>
      </w:r>
      <w:r w:rsidR="00C27A33">
        <w:rPr>
          <w:rFonts w:eastAsia="Times New Roman" w:cs="Arial"/>
          <w:szCs w:val="21"/>
          <w:lang w:eastAsia="de-DE"/>
        </w:rPr>
        <w:t xml:space="preserve">hearing from you and potentially </w:t>
      </w:r>
      <w:r w:rsidRPr="00F42477">
        <w:rPr>
          <w:rFonts w:eastAsia="Times New Roman" w:cs="Arial"/>
          <w:szCs w:val="21"/>
          <w:lang w:eastAsia="de-DE"/>
        </w:rPr>
        <w:t>welcoming you to our institute and the city of Bremen. If you have any immediate further questions regarding these procedures, please do not hesitate to reach out.</w:t>
      </w:r>
    </w:p>
    <w:p w14:paraId="2AA5091E" w14:textId="77777777" w:rsidR="00170026" w:rsidRDefault="00170026" w:rsidP="00F42477">
      <w:pPr>
        <w:spacing w:before="100" w:beforeAutospacing="1" w:after="100" w:afterAutospacing="1" w:line="240" w:lineRule="auto"/>
        <w:ind w:left="720"/>
        <w:rPr>
          <w:rFonts w:eastAsia="Times New Roman" w:cs="Arial"/>
          <w:szCs w:val="21"/>
          <w:lang w:eastAsia="de-DE"/>
        </w:rPr>
      </w:pPr>
    </w:p>
    <w:p w14:paraId="04A2F49F" w14:textId="7C3F7CD6" w:rsidR="00F42477" w:rsidRPr="00F42477" w:rsidRDefault="00F42477" w:rsidP="00F42477">
      <w:pPr>
        <w:spacing w:before="100" w:beforeAutospacing="1" w:after="100" w:afterAutospacing="1" w:line="240" w:lineRule="auto"/>
        <w:ind w:left="720"/>
        <w:rPr>
          <w:rFonts w:eastAsia="Times New Roman" w:cs="Arial"/>
          <w:szCs w:val="21"/>
          <w:lang w:eastAsia="de-DE"/>
        </w:rPr>
      </w:pPr>
      <w:r w:rsidRPr="00F42477">
        <w:rPr>
          <w:rFonts w:eastAsia="Times New Roman" w:cs="Arial"/>
          <w:szCs w:val="21"/>
          <w:lang w:eastAsia="de-DE"/>
        </w:rPr>
        <w:t>Best regards,</w:t>
      </w:r>
    </w:p>
    <w:p w14:paraId="61581662" w14:textId="7D22480B" w:rsidR="00F42477" w:rsidRDefault="00F42477" w:rsidP="00F42477">
      <w:pPr>
        <w:spacing w:before="100" w:beforeAutospacing="1" w:after="100" w:afterAutospacing="1" w:line="240" w:lineRule="auto"/>
        <w:ind w:left="720"/>
        <w:rPr>
          <w:rFonts w:eastAsia="Times New Roman" w:cs="Arial"/>
          <w:szCs w:val="21"/>
          <w:lang w:eastAsia="de-DE"/>
        </w:rPr>
      </w:pPr>
      <w:r w:rsidRPr="00F42477">
        <w:rPr>
          <w:rFonts w:eastAsia="Times New Roman" w:cs="Arial"/>
          <w:b/>
          <w:bCs/>
          <w:szCs w:val="21"/>
          <w:lang w:eastAsia="de-DE"/>
        </w:rPr>
        <w:t>The Exchange Coordinator</w:t>
      </w:r>
      <w:r>
        <w:rPr>
          <w:rFonts w:eastAsia="Times New Roman" w:cs="Arial"/>
          <w:szCs w:val="21"/>
          <w:lang w:eastAsia="de-DE"/>
        </w:rPr>
        <w:br/>
      </w:r>
      <w:r w:rsidRPr="00F42477">
        <w:rPr>
          <w:rFonts w:eastAsia="Times New Roman" w:cs="Arial"/>
          <w:szCs w:val="21"/>
          <w:lang w:eastAsia="de-DE"/>
        </w:rPr>
        <w:t>On behalf of ZMT</w:t>
      </w:r>
    </w:p>
    <w:p w14:paraId="7CEDB27D" w14:textId="45E5586D" w:rsidR="006221F4" w:rsidRDefault="006221F4" w:rsidP="00170026">
      <w:pPr>
        <w:spacing w:before="100" w:beforeAutospacing="1" w:after="100" w:afterAutospacing="1" w:line="240" w:lineRule="auto"/>
        <w:rPr>
          <w:rFonts w:eastAsia="Times New Roman" w:cs="Arial"/>
          <w:szCs w:val="21"/>
          <w:lang w:eastAsia="de-DE"/>
        </w:rPr>
      </w:pPr>
    </w:p>
    <w:p w14:paraId="0A7E208C" w14:textId="23B35142" w:rsidR="006221F4" w:rsidRDefault="006221F4" w:rsidP="00F42477">
      <w:pPr>
        <w:spacing w:before="100" w:beforeAutospacing="1" w:after="100" w:afterAutospacing="1" w:line="240" w:lineRule="auto"/>
        <w:ind w:left="720"/>
        <w:rPr>
          <w:rFonts w:eastAsia="Times New Roman" w:cs="Arial"/>
          <w:szCs w:val="21"/>
          <w:lang w:eastAsia="de-DE"/>
        </w:rPr>
      </w:pPr>
    </w:p>
    <w:p w14:paraId="314125DF" w14:textId="2B56AE22" w:rsidR="006221F4" w:rsidRDefault="006221F4" w:rsidP="00F42477">
      <w:pPr>
        <w:spacing w:before="100" w:beforeAutospacing="1" w:after="100" w:afterAutospacing="1" w:line="240" w:lineRule="auto"/>
        <w:ind w:left="720"/>
        <w:rPr>
          <w:rFonts w:eastAsia="Times New Roman" w:cs="Arial"/>
          <w:szCs w:val="21"/>
          <w:lang w:eastAsia="de-DE"/>
        </w:rPr>
      </w:pPr>
    </w:p>
    <w:p w14:paraId="37632B30" w14:textId="727CAC4C" w:rsidR="006221F4" w:rsidRDefault="006221F4" w:rsidP="00F42477">
      <w:pPr>
        <w:spacing w:before="100" w:beforeAutospacing="1" w:after="100" w:afterAutospacing="1" w:line="240" w:lineRule="auto"/>
        <w:ind w:left="720"/>
        <w:rPr>
          <w:rFonts w:eastAsia="Times New Roman" w:cs="Arial"/>
          <w:szCs w:val="21"/>
          <w:lang w:eastAsia="de-DE"/>
        </w:rPr>
      </w:pPr>
    </w:p>
    <w:p w14:paraId="33EAD3F9" w14:textId="52D2D4BE" w:rsidR="006221F4" w:rsidRDefault="006221F4" w:rsidP="00F42477">
      <w:pPr>
        <w:spacing w:before="100" w:beforeAutospacing="1" w:after="100" w:afterAutospacing="1" w:line="240" w:lineRule="auto"/>
        <w:ind w:left="720"/>
        <w:rPr>
          <w:rFonts w:eastAsia="Times New Roman" w:cs="Arial"/>
          <w:szCs w:val="21"/>
          <w:lang w:eastAsia="de-DE"/>
        </w:rPr>
      </w:pPr>
    </w:p>
    <w:p w14:paraId="7D385C54" w14:textId="763B0483" w:rsidR="006221F4" w:rsidRDefault="006221F4" w:rsidP="00F42477">
      <w:pPr>
        <w:spacing w:before="100" w:beforeAutospacing="1" w:after="100" w:afterAutospacing="1" w:line="240" w:lineRule="auto"/>
        <w:ind w:left="720"/>
        <w:rPr>
          <w:rFonts w:eastAsia="Times New Roman" w:cs="Arial"/>
          <w:szCs w:val="21"/>
          <w:lang w:eastAsia="de-DE"/>
        </w:rPr>
      </w:pPr>
    </w:p>
    <w:p w14:paraId="51291B7C" w14:textId="311054AA" w:rsidR="006221F4" w:rsidRDefault="006221F4" w:rsidP="00F42477">
      <w:pPr>
        <w:spacing w:before="100" w:beforeAutospacing="1" w:after="100" w:afterAutospacing="1" w:line="240" w:lineRule="auto"/>
        <w:ind w:left="720"/>
        <w:rPr>
          <w:rFonts w:eastAsia="Times New Roman" w:cs="Arial"/>
          <w:szCs w:val="21"/>
          <w:lang w:eastAsia="de-DE"/>
        </w:rPr>
      </w:pPr>
    </w:p>
    <w:p w14:paraId="5A8CD7D2" w14:textId="684079DD" w:rsidR="006221F4" w:rsidRDefault="006221F4" w:rsidP="00F42477">
      <w:pPr>
        <w:spacing w:before="100" w:beforeAutospacing="1" w:after="100" w:afterAutospacing="1" w:line="240" w:lineRule="auto"/>
        <w:ind w:left="720"/>
        <w:rPr>
          <w:rFonts w:eastAsia="Times New Roman" w:cs="Arial"/>
          <w:szCs w:val="21"/>
          <w:lang w:eastAsia="de-DE"/>
        </w:rPr>
      </w:pPr>
    </w:p>
    <w:p w14:paraId="0C9006AE" w14:textId="0C5CEA33" w:rsidR="006221F4" w:rsidRDefault="006221F4" w:rsidP="00F42477">
      <w:pPr>
        <w:spacing w:before="100" w:beforeAutospacing="1" w:after="100" w:afterAutospacing="1" w:line="240" w:lineRule="auto"/>
        <w:ind w:left="720"/>
        <w:rPr>
          <w:rFonts w:eastAsia="Times New Roman" w:cs="Arial"/>
          <w:szCs w:val="21"/>
          <w:lang w:eastAsia="de-DE"/>
        </w:rPr>
      </w:pPr>
    </w:p>
    <w:p w14:paraId="527BA6A6" w14:textId="77777777" w:rsidR="006221F4" w:rsidRDefault="006221F4" w:rsidP="00F42477">
      <w:pPr>
        <w:spacing w:before="100" w:beforeAutospacing="1" w:after="100" w:afterAutospacing="1" w:line="240" w:lineRule="auto"/>
        <w:ind w:left="720"/>
        <w:rPr>
          <w:rFonts w:eastAsia="Times New Roman" w:cs="Arial"/>
          <w:szCs w:val="21"/>
          <w:lang w:eastAsia="de-DE"/>
        </w:rPr>
      </w:pPr>
    </w:p>
    <w:p w14:paraId="3AA8F6B6" w14:textId="7F0D7DCE" w:rsidR="003037B0" w:rsidRDefault="003037B0" w:rsidP="00F42477">
      <w:pPr>
        <w:spacing w:before="100" w:beforeAutospacing="1" w:after="100" w:afterAutospacing="1" w:line="240" w:lineRule="auto"/>
        <w:ind w:left="720"/>
        <w:rPr>
          <w:rFonts w:eastAsia="Times New Roman" w:cs="Arial"/>
          <w:szCs w:val="21"/>
          <w:lang w:eastAsia="de-DE"/>
        </w:rPr>
      </w:pPr>
    </w:p>
    <w:p w14:paraId="222E78FB" w14:textId="77777777" w:rsidR="003037B0" w:rsidRPr="00F42477" w:rsidRDefault="003037B0" w:rsidP="00F42477">
      <w:pPr>
        <w:spacing w:before="100" w:beforeAutospacing="1" w:after="100" w:afterAutospacing="1" w:line="240" w:lineRule="auto"/>
        <w:ind w:left="720"/>
        <w:rPr>
          <w:rFonts w:eastAsia="Times New Roman" w:cs="Arial"/>
          <w:szCs w:val="21"/>
          <w:lang w:eastAsia="de-DE"/>
        </w:rPr>
      </w:pPr>
    </w:p>
    <w:p w14:paraId="24EFFF4A" w14:textId="797B687A" w:rsidR="00285723" w:rsidRDefault="00285723" w:rsidP="00F42477">
      <w:pPr>
        <w:keepNext/>
        <w:spacing w:before="280" w:after="80"/>
        <w:jc w:val="both"/>
      </w:pPr>
    </w:p>
    <w:tbl>
      <w:tblPr>
        <w:tblStyle w:val="TableGrid"/>
        <w:tblW w:w="5000" w:type="pct"/>
        <w:tblInd w:w="108" w:type="dxa"/>
        <w:tblLayout w:type="fixed"/>
        <w:tblLook w:val="04A0" w:firstRow="1" w:lastRow="0" w:firstColumn="1" w:lastColumn="0" w:noHBand="0" w:noVBand="1"/>
      </w:tblPr>
      <w:tblGrid>
        <w:gridCol w:w="3423"/>
        <w:gridCol w:w="3151"/>
        <w:gridCol w:w="2786"/>
      </w:tblGrid>
      <w:tr w:rsidR="003037B0" w14:paraId="2AC24EA2" w14:textId="77777777" w:rsidTr="00934E65">
        <w:trPr>
          <w:trHeight w:val="930"/>
        </w:trPr>
        <w:tc>
          <w:tcPr>
            <w:tcW w:w="3513" w:type="dxa"/>
            <w:tcBorders>
              <w:top w:val="nil"/>
              <w:left w:val="nil"/>
              <w:bottom w:val="nil"/>
              <w:right w:val="nil"/>
            </w:tcBorders>
          </w:tcPr>
          <w:p w14:paraId="6AEC2396" w14:textId="77777777" w:rsidR="003037B0" w:rsidRDefault="003037B0" w:rsidP="006221F4">
            <w:pPr>
              <w:keepNext/>
              <w:widowControl w:val="0"/>
              <w:spacing w:after="0" w:line="240" w:lineRule="auto"/>
              <w:ind w:left="1418" w:hanging="1418"/>
              <w:rPr>
                <w:rFonts w:ascii="Avenir LT Pro 55 Roman" w:hAnsi="Avenir LT Pro 55 Roman" w:cs="Avenir Book"/>
                <w:bCs/>
                <w:sz w:val="16"/>
                <w:szCs w:val="16"/>
                <w:lang w:val="en-GB"/>
              </w:rPr>
            </w:pPr>
            <w:r>
              <w:rPr>
                <w:rFonts w:ascii="Avenir LT Pro 55 Roman" w:eastAsia="MS Mincho" w:hAnsi="Avenir LT Pro 55 Roman" w:cs="Avenir Book"/>
                <w:bCs/>
                <w:sz w:val="16"/>
                <w:szCs w:val="16"/>
                <w:lang w:val="en-GB" w:eastAsia="de-DE"/>
              </w:rPr>
              <w:t>Leibniz Centre</w:t>
            </w:r>
          </w:p>
          <w:p w14:paraId="001E14A0" w14:textId="77777777" w:rsidR="003037B0" w:rsidRDefault="003037B0" w:rsidP="006221F4">
            <w:pPr>
              <w:widowControl w:val="0"/>
              <w:spacing w:after="0" w:line="240" w:lineRule="auto"/>
              <w:ind w:left="1418" w:hanging="1418"/>
              <w:rPr>
                <w:rFonts w:ascii="Avenir LT Pro 55 Roman" w:hAnsi="Avenir LT Pro 55 Roman" w:cs="Avenir Book"/>
                <w:bCs/>
                <w:sz w:val="16"/>
                <w:szCs w:val="16"/>
                <w:lang w:val="en-GB"/>
              </w:rPr>
            </w:pPr>
            <w:r>
              <w:rPr>
                <w:rFonts w:ascii="Avenir LT Pro 55 Roman" w:eastAsia="MS Mincho" w:hAnsi="Avenir LT Pro 55 Roman" w:cs="Avenir Book"/>
                <w:bCs/>
                <w:sz w:val="16"/>
                <w:szCs w:val="16"/>
                <w:lang w:val="en-GB" w:eastAsia="de-DE"/>
              </w:rPr>
              <w:t>for Tropical Marine Research (ZMT)</w:t>
            </w:r>
          </w:p>
          <w:p w14:paraId="1D09FD97" w14:textId="77777777" w:rsidR="003037B0" w:rsidRDefault="003037B0" w:rsidP="006221F4">
            <w:pPr>
              <w:widowControl w:val="0"/>
              <w:spacing w:after="0" w:line="240" w:lineRule="auto"/>
              <w:rPr>
                <w:rFonts w:ascii="Avenir LT Pro 55 Roman" w:hAnsi="Avenir LT Pro 55 Roman" w:cs="Avenir Book"/>
                <w:bCs/>
                <w:sz w:val="16"/>
                <w:szCs w:val="16"/>
                <w:lang w:val="en-GB"/>
              </w:rPr>
            </w:pPr>
          </w:p>
          <w:p w14:paraId="23525DEE"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Sitz der Gesellschaft: Bremen</w:t>
            </w:r>
          </w:p>
          <w:p w14:paraId="29EA2DAF"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Fahrenheitstraße 6</w:t>
            </w:r>
          </w:p>
          <w:p w14:paraId="17E74B39"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28359 Bremen</w:t>
            </w:r>
          </w:p>
          <w:p w14:paraId="1F3D8979"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Deutschland</w:t>
            </w:r>
          </w:p>
          <w:p w14:paraId="16CFB08A"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Telefon: +49 (0) 421 238 00-0</w:t>
            </w:r>
          </w:p>
          <w:p w14:paraId="38B45FD8" w14:textId="77777777" w:rsidR="003037B0" w:rsidRDefault="003037B0" w:rsidP="006221F4">
            <w:pPr>
              <w:widowControl w:val="0"/>
              <w:spacing w:after="0" w:line="240" w:lineRule="auto"/>
              <w:rPr>
                <w:rFonts w:ascii="Avenir LT Pro 55 Roman" w:hAnsi="Avenir LT Pro 55 Roman" w:cs="Avenir Book"/>
                <w:color w:val="3C3C3B"/>
                <w:sz w:val="16"/>
                <w:szCs w:val="16"/>
                <w:lang w:val="de-DE"/>
              </w:rPr>
            </w:pPr>
            <w:r>
              <w:rPr>
                <w:rFonts w:ascii="Avenir LT Pro 55 Roman" w:eastAsia="MS Mincho" w:hAnsi="Avenir LT Pro 55 Roman" w:cs="Avenir Book"/>
                <w:color w:val="3C3C3B"/>
                <w:sz w:val="16"/>
                <w:szCs w:val="16"/>
                <w:lang w:val="de-DE" w:eastAsia="de-DE"/>
              </w:rPr>
              <w:t>Fax: +49 (0) 421 238 00-30</w:t>
            </w:r>
          </w:p>
          <w:p w14:paraId="7ACDC6C5" w14:textId="77777777" w:rsidR="003037B0" w:rsidRDefault="003037B0" w:rsidP="006221F4">
            <w:pPr>
              <w:widowControl w:val="0"/>
              <w:tabs>
                <w:tab w:val="left" w:pos="560"/>
              </w:tabs>
              <w:spacing w:after="0" w:line="240" w:lineRule="auto"/>
              <w:rPr>
                <w:rFonts w:ascii="Avenir LT Pro 55 Roman" w:hAnsi="Avenir LT Pro 55 Roman"/>
                <w:color w:val="404040" w:themeColor="text1" w:themeTint="BF"/>
                <w:sz w:val="16"/>
                <w:szCs w:val="16"/>
                <w:lang w:val="de-DE"/>
              </w:rPr>
            </w:pPr>
            <w:r>
              <w:rPr>
                <w:rFonts w:ascii="Avenir LT Pro 55 Roman" w:eastAsia="MS Mincho" w:hAnsi="Avenir LT Pro 55 Roman" w:cs="Avenir Book"/>
                <w:color w:val="3C3C3B"/>
                <w:sz w:val="16"/>
                <w:szCs w:val="16"/>
                <w:lang w:val="de-DE" w:eastAsia="de-DE"/>
              </w:rPr>
              <w:t>www.leibniz-zmt.de</w:t>
            </w:r>
          </w:p>
        </w:tc>
        <w:tc>
          <w:tcPr>
            <w:tcW w:w="3234" w:type="dxa"/>
            <w:tcBorders>
              <w:top w:val="nil"/>
              <w:left w:val="nil"/>
              <w:bottom w:val="nil"/>
              <w:right w:val="nil"/>
            </w:tcBorders>
          </w:tcPr>
          <w:p w14:paraId="434F6396"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Registergericht: Amtsgericht Bremen</w:t>
            </w:r>
          </w:p>
          <w:p w14:paraId="57AC3A3F"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Handelsregister Nr.: HRB 25746 HB</w:t>
            </w:r>
          </w:p>
          <w:p w14:paraId="05436B0A"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Steuer-Nr.: 460/145/09737</w:t>
            </w:r>
          </w:p>
          <w:p w14:paraId="066E248B"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proofErr w:type="spellStart"/>
            <w:r>
              <w:rPr>
                <w:rFonts w:ascii="Avenir LT Pro 55 Roman" w:eastAsia="MS Mincho" w:hAnsi="Avenir LT Pro 55 Roman" w:cs="Avenir Book"/>
                <w:color w:val="404040"/>
                <w:sz w:val="16"/>
                <w:szCs w:val="16"/>
                <w:lang w:val="de-DE" w:eastAsia="de-DE"/>
              </w:rPr>
              <w:t>USt</w:t>
            </w:r>
            <w:proofErr w:type="spellEnd"/>
            <w:r>
              <w:rPr>
                <w:rFonts w:ascii="Avenir LT Pro 55 Roman" w:eastAsia="MS Mincho" w:hAnsi="Avenir LT Pro 55 Roman" w:cs="Avenir Book"/>
                <w:color w:val="404040"/>
                <w:sz w:val="16"/>
                <w:szCs w:val="16"/>
                <w:lang w:val="de-DE" w:eastAsia="de-DE"/>
              </w:rPr>
              <w:t>.-</w:t>
            </w:r>
            <w:proofErr w:type="spellStart"/>
            <w:r>
              <w:rPr>
                <w:rFonts w:ascii="Avenir LT Pro 55 Roman" w:eastAsia="MS Mincho" w:hAnsi="Avenir LT Pro 55 Roman" w:cs="Avenir Book"/>
                <w:color w:val="404040"/>
                <w:sz w:val="16"/>
                <w:szCs w:val="16"/>
                <w:lang w:val="de-DE" w:eastAsia="de-DE"/>
              </w:rPr>
              <w:t>IdNr</w:t>
            </w:r>
            <w:proofErr w:type="spellEnd"/>
            <w:r>
              <w:rPr>
                <w:rFonts w:ascii="Avenir LT Pro 55 Roman" w:eastAsia="MS Mincho" w:hAnsi="Avenir LT Pro 55 Roman" w:cs="Avenir Book"/>
                <w:color w:val="404040"/>
                <w:sz w:val="16"/>
                <w:szCs w:val="16"/>
                <w:lang w:val="de-DE" w:eastAsia="de-DE"/>
              </w:rPr>
              <w:t>.: DE 266278207</w:t>
            </w:r>
          </w:p>
          <w:p w14:paraId="4A7CAE07"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p>
          <w:p w14:paraId="2C2D31F6"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Vorsitzender des Aufsichtsrates:</w:t>
            </w:r>
          </w:p>
          <w:p w14:paraId="5CE28807"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Kay Wenzel</w:t>
            </w:r>
          </w:p>
          <w:p w14:paraId="79895054"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Geschäftsführung:</w:t>
            </w:r>
          </w:p>
          <w:p w14:paraId="23DB93EA" w14:textId="77777777" w:rsidR="003037B0" w:rsidRDefault="003037B0" w:rsidP="006221F4">
            <w:pPr>
              <w:spacing w:after="0" w:line="240" w:lineRule="auto"/>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Prof. Dr. Raimund Bleischwitz</w:t>
            </w:r>
          </w:p>
          <w:p w14:paraId="39C632FA" w14:textId="77777777" w:rsidR="003037B0" w:rsidRDefault="003037B0" w:rsidP="006221F4">
            <w:pPr>
              <w:spacing w:after="0" w:line="240" w:lineRule="auto"/>
              <w:rPr>
                <w:rFonts w:ascii="Avenir LT Pro 55 Roman" w:hAnsi="Avenir LT Pro 55 Roman"/>
                <w:color w:val="404040" w:themeColor="text1" w:themeTint="BF"/>
                <w:sz w:val="16"/>
                <w:szCs w:val="16"/>
                <w:lang w:val="de-DE"/>
              </w:rPr>
            </w:pPr>
            <w:r>
              <w:rPr>
                <w:rFonts w:ascii="Avenir LT Pro 55 Roman" w:eastAsia="MS Mincho" w:hAnsi="Avenir LT Pro 55 Roman"/>
                <w:color w:val="404040" w:themeColor="text1" w:themeTint="BF"/>
                <w:sz w:val="16"/>
                <w:szCs w:val="16"/>
                <w:lang w:val="de-DE" w:eastAsia="de-DE"/>
              </w:rPr>
              <w:t>Dr. Nicolas Dittert</w:t>
            </w:r>
          </w:p>
        </w:tc>
        <w:tc>
          <w:tcPr>
            <w:tcW w:w="2859" w:type="dxa"/>
            <w:tcBorders>
              <w:top w:val="nil"/>
              <w:left w:val="nil"/>
              <w:bottom w:val="nil"/>
              <w:right w:val="nil"/>
            </w:tcBorders>
          </w:tcPr>
          <w:p w14:paraId="039E78CA"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Bankverbindung:</w:t>
            </w:r>
          </w:p>
          <w:p w14:paraId="718C9A4C"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Sparkasse Bremen</w:t>
            </w:r>
          </w:p>
          <w:p w14:paraId="3A08494D"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BLZ: 290 501 01</w:t>
            </w:r>
          </w:p>
          <w:p w14:paraId="6AF0D3D4"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sz w:val="16"/>
                <w:szCs w:val="16"/>
                <w:lang w:val="de-DE"/>
              </w:rPr>
            </w:pPr>
            <w:r>
              <w:rPr>
                <w:rFonts w:ascii="Avenir LT Pro 55 Roman" w:eastAsia="MS Mincho" w:hAnsi="Avenir LT Pro 55 Roman" w:cs="Avenir Book"/>
                <w:color w:val="404040"/>
                <w:sz w:val="16"/>
                <w:szCs w:val="16"/>
                <w:lang w:val="de-DE" w:eastAsia="de-DE"/>
              </w:rPr>
              <w:t>Konto Nr.: 104 7109</w:t>
            </w:r>
          </w:p>
          <w:p w14:paraId="33FB6972" w14:textId="77777777" w:rsidR="003037B0" w:rsidRDefault="003037B0" w:rsidP="006221F4">
            <w:pPr>
              <w:widowControl w:val="0"/>
              <w:tabs>
                <w:tab w:val="left" w:pos="560"/>
              </w:tabs>
              <w:spacing w:after="0" w:line="240" w:lineRule="auto"/>
              <w:ind w:right="-766"/>
              <w:rPr>
                <w:rFonts w:ascii="Avenir LT Pro 55 Roman" w:hAnsi="Avenir LT Pro 55 Roman" w:cs="Avenir Book"/>
                <w:color w:val="404040"/>
                <w:kern w:val="2"/>
                <w:sz w:val="16"/>
                <w:szCs w:val="16"/>
              </w:rPr>
            </w:pPr>
            <w:r>
              <w:rPr>
                <w:rFonts w:ascii="Avenir LT Pro 55 Roman" w:eastAsia="MS Mincho" w:hAnsi="Avenir LT Pro 55 Roman" w:cs="Avenir Book"/>
                <w:color w:val="404040"/>
                <w:spacing w:val="-3"/>
                <w:kern w:val="2"/>
                <w:sz w:val="16"/>
                <w:szCs w:val="16"/>
                <w:lang w:val="de-DE" w:eastAsia="de-DE"/>
              </w:rPr>
              <w:t>IBAN: DE24 2905 0101 0001 0471 09</w:t>
            </w:r>
          </w:p>
          <w:p w14:paraId="4F0916F3" w14:textId="77777777" w:rsidR="003037B0" w:rsidRDefault="003037B0" w:rsidP="006221F4">
            <w:pPr>
              <w:spacing w:after="0" w:line="240" w:lineRule="auto"/>
              <w:rPr>
                <w:rFonts w:ascii="Avenir LT Pro 55 Roman" w:hAnsi="Avenir LT Pro 55 Roman"/>
                <w:color w:val="404040" w:themeColor="text1" w:themeTint="BF"/>
                <w:sz w:val="16"/>
                <w:szCs w:val="16"/>
              </w:rPr>
            </w:pPr>
            <w:r>
              <w:rPr>
                <w:rFonts w:ascii="Avenir LT Pro 55 Roman" w:eastAsia="MS Mincho" w:hAnsi="Avenir LT Pro 55 Roman" w:cs="Avenir Book"/>
                <w:color w:val="404040"/>
                <w:kern w:val="2"/>
                <w:sz w:val="16"/>
                <w:szCs w:val="16"/>
                <w:lang w:val="de-DE" w:eastAsia="de-DE"/>
              </w:rPr>
              <w:t>BIC: SBREDE22</w:t>
            </w:r>
          </w:p>
        </w:tc>
      </w:tr>
    </w:tbl>
    <w:p w14:paraId="7E33AEAB" w14:textId="77777777" w:rsidR="00F42477" w:rsidRDefault="00F42477" w:rsidP="00F42477">
      <w:pPr>
        <w:keepNext/>
        <w:spacing w:before="280" w:after="80"/>
        <w:jc w:val="both"/>
      </w:pPr>
    </w:p>
    <w:sectPr w:rsidR="00F42477">
      <w:headerReference w:type="even" r:id="rId16"/>
      <w:headerReference w:type="default" r:id="rId17"/>
      <w:headerReference w:type="first" r:id="rId18"/>
      <w:pgSz w:w="12240" w:h="15840"/>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C43F" w14:textId="77777777" w:rsidR="004504DF" w:rsidRDefault="004504DF">
      <w:pPr>
        <w:spacing w:after="0" w:line="240" w:lineRule="auto"/>
      </w:pPr>
      <w:r>
        <w:separator/>
      </w:r>
    </w:p>
  </w:endnote>
  <w:endnote w:type="continuationSeparator" w:id="0">
    <w:p w14:paraId="0F231E0B" w14:textId="77777777" w:rsidR="004504DF" w:rsidRDefault="0045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auto"/>
    <w:pitch w:val="variable"/>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Avenir LT Pro 55 Roman">
    <w:panose1 w:val="020B0503020203020204"/>
    <w:charset w:val="00"/>
    <w:family w:val="swiss"/>
    <w:notTrueType/>
    <w:pitch w:val="variable"/>
    <w:sig w:usb0="800000AF" w:usb1="5000204A" w:usb2="00000000" w:usb3="00000000" w:csb0="00000093" w:csb1="00000000"/>
  </w:font>
  <w:font w:name="Avenir Book">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47CB" w14:textId="77777777" w:rsidR="004504DF" w:rsidRDefault="004504DF">
      <w:pPr>
        <w:spacing w:after="0" w:line="240" w:lineRule="auto"/>
      </w:pPr>
      <w:r>
        <w:separator/>
      </w:r>
    </w:p>
  </w:footnote>
  <w:footnote w:type="continuationSeparator" w:id="0">
    <w:p w14:paraId="53187D79" w14:textId="77777777" w:rsidR="004504DF" w:rsidRDefault="0045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9763" w14:textId="77777777" w:rsidR="00285723" w:rsidRDefault="00285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8C3B" w14:textId="77777777" w:rsidR="00285723" w:rsidRDefault="00285723">
    <w:pPr>
      <w:pStyle w:val="Header"/>
    </w:pPr>
  </w:p>
  <w:p w14:paraId="16148303" w14:textId="77777777" w:rsidR="00285723" w:rsidRDefault="00285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7BD1" w14:textId="77777777" w:rsidR="00285723" w:rsidRDefault="00285723">
    <w:pPr>
      <w:pStyle w:val="Header"/>
    </w:pPr>
  </w:p>
  <w:p w14:paraId="47CDC230" w14:textId="77777777" w:rsidR="00285723" w:rsidRDefault="0028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402"/>
    <w:multiLevelType w:val="multilevel"/>
    <w:tmpl w:val="53C06F16"/>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5456AC"/>
    <w:multiLevelType w:val="multilevel"/>
    <w:tmpl w:val="8FFC5384"/>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CC54CE"/>
    <w:multiLevelType w:val="multilevel"/>
    <w:tmpl w:val="383019B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1D6272"/>
    <w:multiLevelType w:val="multilevel"/>
    <w:tmpl w:val="F0B64016"/>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9C42CDC"/>
    <w:multiLevelType w:val="multilevel"/>
    <w:tmpl w:val="4D62167E"/>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C0C731C"/>
    <w:multiLevelType w:val="multilevel"/>
    <w:tmpl w:val="86BC3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D320FF3"/>
    <w:multiLevelType w:val="multilevel"/>
    <w:tmpl w:val="212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06419"/>
    <w:multiLevelType w:val="multilevel"/>
    <w:tmpl w:val="9FE6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A6408"/>
    <w:multiLevelType w:val="multilevel"/>
    <w:tmpl w:val="81D8DBE4"/>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CE06202"/>
    <w:multiLevelType w:val="multilevel"/>
    <w:tmpl w:val="493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3"/>
  </w:num>
  <w:num w:numId="5">
    <w:abstractNumId w:val="0"/>
  </w:num>
  <w:num w:numId="6">
    <w:abstractNumId w:val="1"/>
  </w:num>
  <w:num w:numId="7">
    <w:abstractNumId w:val="5"/>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23"/>
    <w:rsid w:val="000E7871"/>
    <w:rsid w:val="00170026"/>
    <w:rsid w:val="001C544A"/>
    <w:rsid w:val="00285723"/>
    <w:rsid w:val="003037B0"/>
    <w:rsid w:val="0035171F"/>
    <w:rsid w:val="004504DF"/>
    <w:rsid w:val="006221F4"/>
    <w:rsid w:val="0063126B"/>
    <w:rsid w:val="00C27A33"/>
    <w:rsid w:val="00DA3BD1"/>
    <w:rsid w:val="00E77907"/>
    <w:rsid w:val="00F42477"/>
    <w:rsid w:val="00FC686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D3AF"/>
  <w15:docId w15:val="{5AD6557A-F2A0-46E2-9C87-858F097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Noto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paragraph" w:styleId="NormalWeb">
    <w:name w:val="Normal (Web)"/>
    <w:basedOn w:val="Normal"/>
    <w:uiPriority w:val="99"/>
    <w:unhideWhenUsed/>
    <w:qFormat/>
    <w:rsid w:val="00EA4811"/>
    <w:pPr>
      <w:spacing w:beforeAutospacing="1" w:afterAutospacing="1" w:line="240" w:lineRule="auto"/>
    </w:pPr>
    <w:rPr>
      <w:rFonts w:ascii="Times New Roman" w:eastAsia="Times New Roman" w:hAnsi="Times New Roman" w:cs="Times New Roman"/>
      <w:sz w:val="24"/>
      <w:szCs w:val="24"/>
      <w:lang w:val="de-DE" w:eastAsia="de-DE"/>
    </w:r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3126B"/>
    <w:rPr>
      <w:color w:val="0000FF" w:themeColor="hyperlink"/>
      <w:u w:val="single"/>
    </w:rPr>
  </w:style>
  <w:style w:type="character" w:styleId="FollowedHyperlink">
    <w:name w:val="FollowedHyperlink"/>
    <w:basedOn w:val="DefaultParagraphFont"/>
    <w:uiPriority w:val="99"/>
    <w:semiHidden/>
    <w:unhideWhenUsed/>
    <w:rsid w:val="0063126B"/>
    <w:rPr>
      <w:color w:val="800080" w:themeColor="followedHyperlink"/>
      <w:u w:val="single"/>
    </w:rPr>
  </w:style>
  <w:style w:type="character" w:styleId="UnresolvedMention">
    <w:name w:val="Unresolved Mention"/>
    <w:basedOn w:val="DefaultParagraphFont"/>
    <w:uiPriority w:val="99"/>
    <w:semiHidden/>
    <w:unhideWhenUsed/>
    <w:rsid w:val="0063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0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emen-research.de/fileadmin/user_upload/pdf/Arrival_Checklist__2_.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emen-research.de/en/welcome-center/translate-to-english-downloads/translate-to-english-willkommensmapp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en/research-alliance/welcome-center/forms-to-download/welcome-package" TargetMode="External"/><Relationship Id="rId5" Type="http://schemas.openxmlformats.org/officeDocument/2006/relationships/webSettings" Target="webSettings.xml"/><Relationship Id="rId15" Type="http://schemas.openxmlformats.org/officeDocument/2006/relationships/hyperlink" Target="https://www.auswaertiges-amt.de/en/visa-service/visa-navigator-2489244" TargetMode="External"/><Relationship Id="rId10" Type="http://schemas.openxmlformats.org/officeDocument/2006/relationships/hyperlink" Target="https://www.bremen-research.de/en/welcome-center/contact-and-dire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emen-research.de/en/welcome-guide" TargetMode="External"/><Relationship Id="rId14" Type="http://schemas.openxmlformats.org/officeDocument/2006/relationships/hyperlink" Target="https://www.bremen-research.de/en/welcome-center/translate-to-english-ankunft-im-land-breme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Gabriela Garcia</cp:lastModifiedBy>
  <cp:revision>6</cp:revision>
  <dcterms:created xsi:type="dcterms:W3CDTF">2026-06-22T11:41:00Z</dcterms:created>
  <dcterms:modified xsi:type="dcterms:W3CDTF">2026-06-23T18:05:00Z</dcterms:modified>
  <dc:language>en-US</dc:language>
</cp:coreProperties>
</file>